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2885"/>
        <w:gridCol w:w="2885"/>
        <w:gridCol w:w="2885"/>
        <w:gridCol w:w="2885"/>
        <w:gridCol w:w="2885"/>
      </w:tblGrid>
      <w:tr w:rsidR="003D6CEC" w:rsidTr="00FD1418">
        <w:tc>
          <w:tcPr>
            <w:tcW w:w="14425" w:type="dxa"/>
            <w:gridSpan w:val="5"/>
          </w:tcPr>
          <w:p w:rsidR="003D6CEC" w:rsidRPr="003D6CEC" w:rsidRDefault="003D6CEC" w:rsidP="00FD1418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D6CEC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Wymagania edukacyjne niezbędne do uzyskania śródrocznej i rocznej oceny klasyfikacyjnej z fizyki, zakres podstawowy,</w:t>
            </w:r>
          </w:p>
          <w:p w:rsidR="003D6CEC" w:rsidRPr="00FD1418" w:rsidRDefault="003D6CEC" w:rsidP="00FD1418">
            <w:pPr>
              <w:jc w:val="center"/>
              <w:rPr>
                <w:b/>
              </w:rPr>
            </w:pPr>
            <w:r w:rsidRPr="003D6CEC"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Klasa 2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Ocena</w:t>
            </w:r>
          </w:p>
        </w:tc>
      </w:tr>
      <w:tr w:rsidR="00FD1418" w:rsidTr="00FD1418"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Dopuszczający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Dostateczny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Bardzo dobry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jc w:val="center"/>
              <w:rPr>
                <w:b/>
              </w:rPr>
            </w:pPr>
            <w:r w:rsidRPr="00FD1418">
              <w:rPr>
                <w:b/>
              </w:rPr>
              <w:t>Celujący</w:t>
            </w: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B32C60" w:rsidP="00FD141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FD1418" w:rsidTr="00FD1418">
        <w:tc>
          <w:tcPr>
            <w:tcW w:w="2885" w:type="dxa"/>
          </w:tcPr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dotyk; 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FD1418" w:rsidRPr="00FD1418" w:rsidRDefault="00FD1418" w:rsidP="00BD4C2E">
            <w:pPr>
              <w:numPr>
                <w:ilvl w:val="0"/>
                <w:numId w:val="1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</w:p>
        </w:tc>
        <w:tc>
          <w:tcPr>
            <w:tcW w:w="2885" w:type="dxa"/>
          </w:tcPr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wyjaśnia mechanizm zjawiska elektryzowania ciał, 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pole jednorodne; </w:t>
            </w:r>
          </w:p>
          <w:p w:rsidR="00B32C60" w:rsidRPr="00660205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znikanie pola elektrycznego wewnątrz przewodnika (klatka Faradaya)</w:t>
            </w:r>
          </w:p>
          <w:p w:rsidR="00FD1418" w:rsidRPr="00B32C60" w:rsidRDefault="00B32C60" w:rsidP="00B32C60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</w:tc>
        <w:tc>
          <w:tcPr>
            <w:tcW w:w="2885" w:type="dxa"/>
          </w:tcPr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z w:val="15"/>
                <w:szCs w:val="15"/>
              </w:rPr>
              <w:t xml:space="preserve">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</w:t>
            </w:r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</w:t>
            </w:r>
            <w:r>
              <w:rPr>
                <w:color w:val="000000"/>
                <w:sz w:val="15"/>
                <w:szCs w:val="15"/>
              </w:rPr>
              <w:t xml:space="preserve"> ciała elektrycznie obojętnego </w:t>
            </w:r>
            <w:r w:rsidRPr="00660205">
              <w:rPr>
                <w:color w:val="000000"/>
                <w:sz w:val="15"/>
                <w:szCs w:val="15"/>
              </w:rPr>
              <w:t>przez ciało naelektryzowane</w:t>
            </w:r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B32C60" w:rsidRPr="009A4F42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9A4F42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9A4F42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9A4F42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superkondensatorów</w:t>
            </w:r>
            <w:proofErr w:type="spellEnd"/>
          </w:p>
          <w:p w:rsidR="00B32C60" w:rsidRPr="00660205" w:rsidRDefault="00B32C60" w:rsidP="00B32C60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FD1418" w:rsidRPr="00FD1418" w:rsidRDefault="00B32C60" w:rsidP="00B32C60">
            <w:pPr>
              <w:numPr>
                <w:ilvl w:val="0"/>
                <w:numId w:val="3"/>
              </w:numPr>
              <w:tabs>
                <w:tab w:val="clear" w:pos="360"/>
              </w:tabs>
              <w:spacing w:line="271" w:lineRule="auto"/>
              <w:ind w:left="164" w:hanging="164"/>
              <w:rPr>
                <w:sz w:val="20"/>
                <w:szCs w:val="20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</w:p>
        </w:tc>
        <w:tc>
          <w:tcPr>
            <w:tcW w:w="2885" w:type="dxa"/>
          </w:tcPr>
          <w:p w:rsidR="00B32C60" w:rsidRPr="00660205" w:rsidRDefault="00B32C60" w:rsidP="00B32C60">
            <w:pPr>
              <w:numPr>
                <w:ilvl w:val="0"/>
                <w:numId w:val="4"/>
              </w:numPr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B32C60" w:rsidRPr="00660205" w:rsidRDefault="00B32C60" w:rsidP="00B32C60">
            <w:pPr>
              <w:numPr>
                <w:ilvl w:val="0"/>
                <w:numId w:val="8"/>
              </w:numPr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B32C60" w:rsidRPr="00660205" w:rsidRDefault="00B32C60" w:rsidP="00B32C60">
            <w:pPr>
              <w:numPr>
                <w:ilvl w:val="0"/>
                <w:numId w:val="8"/>
              </w:numPr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B32C60" w:rsidRPr="00660205" w:rsidRDefault="00B32C60" w:rsidP="00B32C60">
            <w:pPr>
              <w:numPr>
                <w:ilvl w:val="0"/>
                <w:numId w:val="8"/>
              </w:numPr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B32C60" w:rsidRPr="00660205" w:rsidRDefault="00B32C60" w:rsidP="00B32C60">
            <w:pPr>
              <w:numPr>
                <w:ilvl w:val="0"/>
                <w:numId w:val="8"/>
              </w:numPr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B32C60" w:rsidRPr="00660205" w:rsidRDefault="00B32C60" w:rsidP="00B32C60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FD1418" w:rsidRDefault="00B32C60" w:rsidP="00B32C60">
            <w:pPr>
              <w:numPr>
                <w:ilvl w:val="0"/>
                <w:numId w:val="4"/>
              </w:numPr>
              <w:tabs>
                <w:tab w:val="clear" w:pos="360"/>
              </w:tabs>
              <w:ind w:left="164" w:hanging="164"/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doświadczenia</w:t>
            </w:r>
          </w:p>
        </w:tc>
        <w:tc>
          <w:tcPr>
            <w:tcW w:w="2885" w:type="dxa"/>
          </w:tcPr>
          <w:p w:rsidR="00FD1418" w:rsidRPr="00FD1418" w:rsidRDefault="00FD1418" w:rsidP="00FD1418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B32C60" w:rsidP="00BD4C2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FD1418" w:rsidTr="00FD1418">
        <w:tc>
          <w:tcPr>
            <w:tcW w:w="2885" w:type="dxa"/>
          </w:tcPr>
          <w:p w:rsidR="006D54E0" w:rsidRPr="00660205" w:rsidRDefault="00B32C60" w:rsidP="006D54E0">
            <w:pPr>
              <w:numPr>
                <w:ilvl w:val="0"/>
                <w:numId w:val="1"/>
              </w:numPr>
              <w:tabs>
                <w:tab w:val="clear" w:pos="360"/>
              </w:tabs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obwodach 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wskazuje ich przykłady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>zła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pierwsze prawo Kirchhoffa jako przykład zasady zachowania ł</w:t>
            </w:r>
            <w:r w:rsidR="006D54E0">
              <w:rPr>
                <w:rFonts w:eastAsia="Calibri"/>
                <w:color w:val="000000"/>
                <w:sz w:val="15"/>
                <w:szCs w:val="15"/>
              </w:rPr>
              <w:t xml:space="preserve">adunku; wskazuje zastosowanie 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:rsidR="00B32C60" w:rsidRPr="00660205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:rsidR="00FD1418" w:rsidRPr="00FD1418" w:rsidRDefault="00B32C60" w:rsidP="00B32C60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</w:p>
        </w:tc>
        <w:tc>
          <w:tcPr>
            <w:tcW w:w="2885" w:type="dxa"/>
          </w:tcPr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proofErr w:type="spellStart"/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:rsidR="006D54E0" w:rsidRPr="00660205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FD1418" w:rsidRPr="006D54E0" w:rsidRDefault="006D54E0" w:rsidP="006D54E0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</w:tc>
        <w:tc>
          <w:tcPr>
            <w:tcW w:w="2885" w:type="dxa"/>
          </w:tcPr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</w:rPr>
              <w:t>interpretuje pierwsze prawo Kirchhoffa jako przykład zasady zachowania ładunku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:rsidR="00FD1418" w:rsidRPr="006D54E0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</w:p>
        </w:tc>
        <w:tc>
          <w:tcPr>
            <w:tcW w:w="2885" w:type="dxa"/>
          </w:tcPr>
          <w:p w:rsidR="00AF0B0F" w:rsidRPr="00660205" w:rsidRDefault="00AF0B0F" w:rsidP="00AF0B0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</w:rPr>
              <w:t xml:space="preserve">połączonych równolegle odbiorników prądu </w:t>
            </w:r>
          </w:p>
          <w:p w:rsidR="00FD1418" w:rsidRPr="00AF0B0F" w:rsidRDefault="00AF0B0F" w:rsidP="00AF0B0F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</w:tc>
        <w:tc>
          <w:tcPr>
            <w:tcW w:w="2885" w:type="dxa"/>
          </w:tcPr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:rsidR="006D54E0" w:rsidRPr="00660205" w:rsidRDefault="006D54E0" w:rsidP="006D54E0">
            <w:pPr>
              <w:numPr>
                <w:ilvl w:val="0"/>
                <w:numId w:val="3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proofErr w:type="spellStart"/>
            <w:r w:rsidRPr="00660205">
              <w:rPr>
                <w:color w:val="000000"/>
                <w:sz w:val="15"/>
                <w:szCs w:val="15"/>
              </w:rPr>
              <w:t>internetu</w:t>
            </w:r>
            <w:proofErr w:type="spellEnd"/>
            <w:r w:rsidRPr="00660205">
              <w:rPr>
                <w:color w:val="000000"/>
                <w:sz w:val="15"/>
                <w:szCs w:val="15"/>
              </w:rPr>
              <w:t xml:space="preserve">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:rsidR="006D54E0" w:rsidRPr="00660205" w:rsidRDefault="006D54E0" w:rsidP="006D54E0">
            <w:pPr>
              <w:numPr>
                <w:ilvl w:val="0"/>
                <w:numId w:val="11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:rsidR="006D54E0" w:rsidRPr="00660205" w:rsidRDefault="006D54E0" w:rsidP="006D54E0">
            <w:pPr>
              <w:numPr>
                <w:ilvl w:val="0"/>
                <w:numId w:val="11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:rsidR="006D54E0" w:rsidRPr="00660205" w:rsidRDefault="006D54E0" w:rsidP="006D54E0">
            <w:pPr>
              <w:numPr>
                <w:ilvl w:val="0"/>
                <w:numId w:val="11"/>
              </w:numPr>
              <w:tabs>
                <w:tab w:val="clear" w:pos="700"/>
              </w:tabs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:rsidR="006D54E0" w:rsidRDefault="006D54E0" w:rsidP="006D54E0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:rsidR="00AF0B0F" w:rsidRPr="00660205" w:rsidRDefault="00AF0B0F" w:rsidP="006D54E0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</w:p>
          <w:p w:rsidR="00FD1418" w:rsidRDefault="00FD1418" w:rsidP="006D54E0">
            <w:pPr>
              <w:ind w:left="164"/>
            </w:pPr>
          </w:p>
        </w:tc>
      </w:tr>
      <w:tr w:rsidR="00FD1418" w:rsidTr="00FD1418">
        <w:tc>
          <w:tcPr>
            <w:tcW w:w="14425" w:type="dxa"/>
            <w:gridSpan w:val="5"/>
          </w:tcPr>
          <w:p w:rsidR="00FD1418" w:rsidRPr="00FD1418" w:rsidRDefault="00AF0B0F" w:rsidP="00BD4C2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6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FD1418" w:rsidTr="00FD1418">
        <w:tc>
          <w:tcPr>
            <w:tcW w:w="2885" w:type="dxa"/>
          </w:tcPr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domowej sieci elektrycznej oraz warunki bezpiecznego </w:t>
            </w:r>
            <w:r w:rsidRPr="00660205">
              <w:rPr>
                <w:sz w:val="15"/>
                <w:szCs w:val="15"/>
              </w:rPr>
              <w:lastRenderedPageBreak/>
              <w:t>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</w:t>
            </w:r>
            <w:r>
              <w:rPr>
                <w:sz w:val="15"/>
                <w:szCs w:val="15"/>
              </w:rPr>
              <w:t>isuje oddziaływanie między nimi</w:t>
            </w:r>
            <w:r w:rsidRPr="00660205">
              <w:rPr>
                <w:sz w:val="15"/>
                <w:szCs w:val="15"/>
              </w:rPr>
              <w:t xml:space="preserve">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oddziaływaniem ładunków elektrycznych; 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</w:p>
          <w:p w:rsidR="00AF0B0F" w:rsidRPr="00660205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:rsidR="00FD1418" w:rsidRPr="00AF0B0F" w:rsidRDefault="00AF0B0F" w:rsidP="00AF0B0F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</w:tc>
        <w:tc>
          <w:tcPr>
            <w:tcW w:w="2885" w:type="dxa"/>
          </w:tcPr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lastRenderedPageBreak/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 xml:space="preserve">napięcia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domową sieć elektryczną jako przykład obwodu rozgałęzionego;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jego </w:t>
            </w:r>
            <w:r w:rsidRPr="00660205">
              <w:rPr>
                <w:sz w:val="15"/>
                <w:szCs w:val="15"/>
              </w:rPr>
              <w:lastRenderedPageBreak/>
              <w:t>koszt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obliczeniach </w:t>
            </w:r>
            <w:r>
              <w:rPr>
                <w:sz w:val="15"/>
                <w:szCs w:val="15"/>
              </w:rPr>
              <w:t xml:space="preserve">wzory na moc prądu </w:t>
            </w:r>
            <w:r w:rsidRPr="00660205">
              <w:rPr>
                <w:sz w:val="15"/>
                <w:szCs w:val="15"/>
              </w:rPr>
              <w:t>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 xml:space="preserve">prądem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</w:t>
            </w:r>
          </w:p>
          <w:p w:rsidR="00AF0B0F" w:rsidRPr="00660205" w:rsidRDefault="00AF0B0F" w:rsidP="00AF0B0F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:rsidR="00FD1418" w:rsidRPr="00A5707D" w:rsidRDefault="00AF0B0F" w:rsidP="00A5707D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</w:rPr>
              <w:t xml:space="preserve"> jego zastosowania</w:t>
            </w:r>
          </w:p>
        </w:tc>
        <w:tc>
          <w:tcPr>
            <w:tcW w:w="2885" w:type="dxa"/>
          </w:tcPr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lastRenderedPageBreak/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 xml:space="preserve">prądem 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stosując regułę prawej ręki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zwrot siły </w:t>
            </w:r>
            <w:r w:rsidRPr="00660205">
              <w:rPr>
                <w:sz w:val="15"/>
                <w:szCs w:val="15"/>
              </w:rPr>
              <w:lastRenderedPageBreak/>
              <w:t xml:space="preserve">magnetycznej; 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>
              <w:rPr>
                <w:sz w:val="15"/>
                <w:szCs w:val="15"/>
              </w:rPr>
              <w:t xml:space="preserve"> i diody świecące 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</w:t>
            </w:r>
          </w:p>
          <w:p w:rsidR="00BD4C2E" w:rsidRPr="00AA0B33" w:rsidRDefault="00A5707D" w:rsidP="00A5707D">
            <w:pPr>
              <w:numPr>
                <w:ilvl w:val="0"/>
                <w:numId w:val="3"/>
              </w:numPr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</w:p>
          <w:p w:rsidR="00FD1418" w:rsidRPr="00AA0B33" w:rsidRDefault="00FD1418" w:rsidP="00A5707D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885" w:type="dxa"/>
          </w:tcPr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lastRenderedPageBreak/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domowej sieci elektrycznej oraz warunki bezpiecznego </w:t>
            </w:r>
            <w:r w:rsidRPr="00660205">
              <w:rPr>
                <w:sz w:val="15"/>
                <w:szCs w:val="15"/>
              </w:rPr>
              <w:lastRenderedPageBreak/>
              <w:t>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:rsidR="00A5707D" w:rsidRPr="00660205" w:rsidRDefault="00A5707D" w:rsidP="00A5707D">
            <w:pPr>
              <w:numPr>
                <w:ilvl w:val="0"/>
                <w:numId w:val="1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:rsidR="00FD1418" w:rsidRDefault="00FD1418" w:rsidP="00A5707D">
            <w:pPr>
              <w:ind w:left="164"/>
            </w:pPr>
          </w:p>
        </w:tc>
        <w:tc>
          <w:tcPr>
            <w:tcW w:w="2885" w:type="dxa"/>
          </w:tcPr>
          <w:p w:rsidR="00A5707D" w:rsidRPr="00660205" w:rsidRDefault="00A5707D" w:rsidP="00A5707D">
            <w:pPr>
              <w:numPr>
                <w:ilvl w:val="0"/>
                <w:numId w:val="2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:rsidR="00A5707D" w:rsidRPr="00660205" w:rsidRDefault="00A5707D" w:rsidP="00A5707D">
            <w:pPr>
              <w:numPr>
                <w:ilvl w:val="0"/>
                <w:numId w:val="13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:rsidR="00A5707D" w:rsidRPr="00660205" w:rsidRDefault="00A5707D" w:rsidP="00A5707D">
            <w:pPr>
              <w:numPr>
                <w:ilvl w:val="0"/>
                <w:numId w:val="13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:rsidR="00A5707D" w:rsidRPr="00660205" w:rsidRDefault="00A5707D" w:rsidP="00A5707D">
            <w:pPr>
              <w:numPr>
                <w:ilvl w:val="0"/>
                <w:numId w:val="13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:rsidR="00A5707D" w:rsidRPr="00660205" w:rsidRDefault="00A5707D" w:rsidP="00A5707D">
            <w:pPr>
              <w:numPr>
                <w:ilvl w:val="0"/>
                <w:numId w:val="13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:rsidR="00A5707D" w:rsidRPr="00660205" w:rsidRDefault="00A5707D" w:rsidP="00A5707D">
            <w:pPr>
              <w:numPr>
                <w:ilvl w:val="0"/>
                <w:numId w:val="3"/>
              </w:numPr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:rsidR="00A5707D" w:rsidRPr="00660205" w:rsidRDefault="00A5707D" w:rsidP="00A5707D">
            <w:pPr>
              <w:numPr>
                <w:ilvl w:val="0"/>
                <w:numId w:val="15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:rsidR="00A5707D" w:rsidRPr="00660205" w:rsidRDefault="00A5707D" w:rsidP="00A5707D">
            <w:pPr>
              <w:numPr>
                <w:ilvl w:val="0"/>
                <w:numId w:val="15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:rsidR="00A5707D" w:rsidRPr="00660205" w:rsidRDefault="00A5707D" w:rsidP="00A5707D">
            <w:pPr>
              <w:numPr>
                <w:ilvl w:val="0"/>
                <w:numId w:val="14"/>
              </w:numPr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:rsidR="00A5707D" w:rsidRPr="00660205" w:rsidRDefault="00A5707D" w:rsidP="00A5707D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:rsidR="00AA0B33" w:rsidRPr="00AA0B33" w:rsidRDefault="00AA0B33" w:rsidP="00A5707D">
            <w:pPr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</w:p>
        </w:tc>
      </w:tr>
    </w:tbl>
    <w:p w:rsidR="001B4952" w:rsidRDefault="001B4952"/>
    <w:sectPr w:rsidR="001B4952" w:rsidSect="00FD14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2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418"/>
    <w:rsid w:val="00082E3F"/>
    <w:rsid w:val="001B4952"/>
    <w:rsid w:val="003D6CEC"/>
    <w:rsid w:val="003E6F59"/>
    <w:rsid w:val="004C6EDB"/>
    <w:rsid w:val="006D54E0"/>
    <w:rsid w:val="00A5707D"/>
    <w:rsid w:val="00AA0B33"/>
    <w:rsid w:val="00AF0B0F"/>
    <w:rsid w:val="00B32C60"/>
    <w:rsid w:val="00BC01D5"/>
    <w:rsid w:val="00BD4C2E"/>
    <w:rsid w:val="00CF5F08"/>
    <w:rsid w:val="00FC052D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dcterms:created xsi:type="dcterms:W3CDTF">2022-09-29T20:17:00Z</dcterms:created>
  <dcterms:modified xsi:type="dcterms:W3CDTF">2022-09-30T17:23:00Z</dcterms:modified>
</cp:coreProperties>
</file>